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ӘЛ-ФАРАБИ АТЫНДАҒ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 xml:space="preserve"> ҚАЗАҚ ҰЛТТЫҚ УНИВЕРСИТЕТІ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География және табиғатты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факультеті</w:t>
      </w:r>
      <w:proofErr w:type="spellEnd"/>
    </w:p>
    <w:p w:rsidR="00121902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 xml:space="preserve">Тұрақты даму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ЮНЕСКО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F3415F" w:rsidRDefault="00C54531" w:rsidP="00C545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 </w:t>
      </w:r>
      <w:r w:rsidRPr="00C54531">
        <w:rPr>
          <w:rFonts w:ascii="Times New Roman" w:hAnsi="Times New Roman" w:cs="Times New Roman"/>
          <w:sz w:val="28"/>
          <w:lang w:val="kk-KZ"/>
        </w:rPr>
        <w:t>«</w:t>
      </w:r>
      <w:r w:rsidRPr="00C54531">
        <w:rPr>
          <w:rFonts w:ascii="Times New Roman" w:hAnsi="Times New Roman" w:cs="Times New Roman"/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Pr="00C54531">
        <w:rPr>
          <w:rFonts w:ascii="Times New Roman" w:hAnsi="Times New Roman" w:cs="Times New Roman"/>
          <w:sz w:val="28"/>
          <w:lang w:val="kk-KZ"/>
        </w:rPr>
        <w:t>»</w:t>
      </w:r>
      <w:r w:rsidRPr="00462575">
        <w:rPr>
          <w:b/>
          <w:sz w:val="28"/>
          <w:lang w:val="kk-KZ"/>
        </w:rPr>
        <w:t xml:space="preserve"> </w:t>
      </w:r>
      <w:r w:rsidRPr="00F3415F">
        <w:rPr>
          <w:rFonts w:ascii="Times New Roman" w:hAnsi="Times New Roman" w:cs="Times New Roman"/>
          <w:sz w:val="28"/>
          <w:szCs w:val="28"/>
          <w:lang w:val="kk-KZ"/>
        </w:rPr>
        <w:t xml:space="preserve"> пән бойынша қорытынды емтихан</w:t>
      </w:r>
    </w:p>
    <w:p w:rsidR="00C54531" w:rsidRPr="00955E48" w:rsidRDefault="00C54531" w:rsidP="00C545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5E48">
        <w:rPr>
          <w:rFonts w:ascii="Times New Roman" w:hAnsi="Times New Roman" w:cs="Times New Roman"/>
          <w:sz w:val="28"/>
          <w:szCs w:val="28"/>
          <w:lang w:val="kk-KZ"/>
        </w:rPr>
        <w:t>БАҒДАРЛАМАСЫ</w:t>
      </w:r>
    </w:p>
    <w:p w:rsidR="00C54531" w:rsidRPr="00955E48" w:rsidRDefault="00955E48" w:rsidP="00C545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55E48">
        <w:rPr>
          <w:rFonts w:ascii="Times New Roman" w:hAnsi="Times New Roman" w:cs="Times New Roman"/>
          <w:sz w:val="28"/>
          <w:szCs w:val="28"/>
          <w:lang w:val="kk-KZ"/>
        </w:rPr>
        <w:t>«5B073100-«</w:t>
      </w:r>
      <w:r w:rsidR="00C54531" w:rsidRPr="00955E48">
        <w:rPr>
          <w:rFonts w:ascii="Times New Roman" w:hAnsi="Times New Roman" w:cs="Times New Roman"/>
          <w:sz w:val="28"/>
          <w:szCs w:val="28"/>
          <w:lang w:val="kk-KZ"/>
        </w:rPr>
        <w:t xml:space="preserve">Қоршаған ортаны қорғау және өмір тіршілігінің қауіпсіздігі» 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54531">
        <w:rPr>
          <w:rFonts w:ascii="Times New Roman" w:hAnsi="Times New Roman" w:cs="Times New Roman"/>
          <w:sz w:val="28"/>
          <w:szCs w:val="28"/>
        </w:rPr>
        <w:t xml:space="preserve"> беру бағдарламасы» </w:t>
      </w:r>
      <w:proofErr w:type="spellStart"/>
      <w:r w:rsidRPr="00C5453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531">
        <w:rPr>
          <w:rFonts w:ascii="Times New Roman" w:hAnsi="Times New Roman" w:cs="Times New Roman"/>
          <w:sz w:val="28"/>
          <w:szCs w:val="28"/>
        </w:rPr>
        <w:t>3курс, қазақ бө</w:t>
      </w:r>
      <w:proofErr w:type="gramStart"/>
      <w:r w:rsidRPr="00C545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4531">
        <w:rPr>
          <w:rFonts w:ascii="Times New Roman" w:hAnsi="Times New Roman" w:cs="Times New Roman"/>
          <w:sz w:val="28"/>
          <w:szCs w:val="28"/>
        </w:rPr>
        <w:t>імі, көктемгі семестр,2 кредит</w:t>
      </w: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Pr="00C54531" w:rsidRDefault="00C54531" w:rsidP="00C54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rPr>
          <w:rFonts w:ascii="Arial" w:hAnsi="Arial" w:cs="Arial"/>
          <w:sz w:val="23"/>
          <w:szCs w:val="23"/>
        </w:rPr>
      </w:pPr>
    </w:p>
    <w:p w:rsidR="00C54531" w:rsidRPr="00955E48" w:rsidRDefault="00955E48" w:rsidP="00C54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Оқу тү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C54531" w:rsidRPr="00955E48">
        <w:rPr>
          <w:rFonts w:ascii="Times New Roman" w:hAnsi="Times New Roman" w:cs="Times New Roman"/>
          <w:sz w:val="24"/>
          <w:szCs w:val="24"/>
        </w:rPr>
        <w:t xml:space="preserve"> күндізгі</w:t>
      </w: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</w:p>
    <w:p w:rsidR="00C54531" w:rsidRDefault="00C54531" w:rsidP="00C54531">
      <w:pPr>
        <w:jc w:val="center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Алматы</w:t>
      </w:r>
      <w:proofErr w:type="spellEnd"/>
      <w:r>
        <w:rPr>
          <w:rFonts w:ascii="Arial" w:hAnsi="Arial" w:cs="Arial"/>
          <w:sz w:val="23"/>
          <w:szCs w:val="23"/>
        </w:rPr>
        <w:t>, 2021</w:t>
      </w: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6D1B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D1BA4">
        <w:rPr>
          <w:rFonts w:ascii="Times New Roman" w:hAnsi="Times New Roman" w:cs="Times New Roman"/>
          <w:sz w:val="24"/>
          <w:szCs w:val="24"/>
        </w:rPr>
        <w:t xml:space="preserve">  пәні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қорытынды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бағдарламасын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«5B073100-« Қоршаған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қорғау және өмір тіршілігінің қауіпсіздігі»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беру бағдарламасы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беру бағдарламасының оқу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proofErr w:type="gramStart"/>
      <w:r w:rsidRPr="006D1BA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ұрақты даму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ЮНЕСКО кафедрасының  оқытушысы А.К. </w:t>
      </w:r>
      <w:r w:rsidRPr="006D1BA4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Қожахан</w:t>
      </w:r>
      <w:r w:rsidRPr="006D1BA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6D1BA4">
        <w:rPr>
          <w:rFonts w:ascii="Times New Roman" w:hAnsi="Times New Roman" w:cs="Times New Roman"/>
          <w:sz w:val="24"/>
          <w:szCs w:val="24"/>
        </w:rPr>
        <w:t>құрастырды.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Тұрақты даму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ЮНЕСКО кафедраның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1B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D1BA4">
        <w:rPr>
          <w:rFonts w:ascii="Times New Roman" w:hAnsi="Times New Roman" w:cs="Times New Roman"/>
          <w:sz w:val="24"/>
          <w:szCs w:val="24"/>
        </w:rPr>
        <w:t xml:space="preserve">әжілісінде қаралды және ұсынылды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1BA4">
        <w:rPr>
          <w:rFonts w:ascii="Times New Roman" w:hAnsi="Times New Roman" w:cs="Times New Roman"/>
          <w:sz w:val="24"/>
          <w:szCs w:val="24"/>
        </w:rPr>
        <w:t>No____хаттама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«_____» __________ 2021 ж., </w:t>
      </w:r>
    </w:p>
    <w:p w:rsidR="00C54531" w:rsidRPr="006D1BA4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Кафедра меңгерушісі ________________ Т.А.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BA4" w:rsidRPr="006D1BA4" w:rsidRDefault="006D1BA4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955E48" w:rsidRDefault="00C54531" w:rsidP="006D1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  <w:lang w:val="kk-KZ"/>
        </w:rPr>
        <w:lastRenderedPageBreak/>
        <w:t>«</w:t>
      </w:r>
      <w:r w:rsidRPr="00955E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955E4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55E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55E48">
        <w:rPr>
          <w:rFonts w:ascii="Times New Roman" w:hAnsi="Times New Roman" w:cs="Times New Roman"/>
          <w:sz w:val="24"/>
          <w:szCs w:val="24"/>
        </w:rPr>
        <w:t xml:space="preserve"> пәні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C54531" w:rsidRPr="00955E48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t>ҚОРЫТЫНДЫ ЕМТИХАНДЫ ӨТКІЗУ ЕРЕЖЕЛЕРІ МЕН ТҮ</w:t>
      </w:r>
      <w:proofErr w:type="gramStart"/>
      <w:r w:rsidRPr="00955E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5E48">
        <w:rPr>
          <w:rFonts w:ascii="Times New Roman" w:hAnsi="Times New Roman" w:cs="Times New Roman"/>
          <w:sz w:val="24"/>
          <w:szCs w:val="24"/>
        </w:rPr>
        <w:t>ІНІҢ СИПАТТАМАСЫ</w:t>
      </w:r>
    </w:p>
    <w:p w:rsidR="00C54531" w:rsidRPr="00955E48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t xml:space="preserve">1. Қорытынды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өткізу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E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55E48">
        <w:rPr>
          <w:rFonts w:ascii="Times New Roman" w:hAnsi="Times New Roman" w:cs="Times New Roman"/>
          <w:sz w:val="24"/>
          <w:szCs w:val="24"/>
        </w:rPr>
        <w:t xml:space="preserve">ән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тестілеу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ұйымдастырылатын жүйеде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орналастырылатын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болады:-Универ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жүйесіндегі, ПОӘК-дегі, «Пән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қорытынды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бағдарламасы» қосымша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531" w:rsidRPr="00955E48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жүйеге жүктегеннен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мессенджер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чатында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«қорытынды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емтиханды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өткізу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ережелерімен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» қандай жүйеде танысуға болатындығы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хабарланады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>.</w:t>
      </w:r>
    </w:p>
    <w:p w:rsidR="00C54531" w:rsidRPr="00955E48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t>3. Чаттағы ә</w:t>
      </w:r>
      <w:proofErr w:type="gramStart"/>
      <w:r w:rsidRPr="00955E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5E48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кестемен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ережелермен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нұсқауларының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талаптарымен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танысқанын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растауы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531" w:rsidRPr="00955E48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Кесте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жоспарланған күні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еске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нысаны-тестілеуКімге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ұсынылады:</w:t>
      </w:r>
    </w:p>
    <w:p w:rsidR="00C54531" w:rsidRPr="00955E48" w:rsidRDefault="00C54531" w:rsidP="00C54531">
      <w:pPr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t xml:space="preserve">3 курс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студенттері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>, «Қоршаған</w:t>
      </w:r>
      <w:r w:rsid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ортаны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қорғау және өмі</w:t>
      </w:r>
      <w:proofErr w:type="gramStart"/>
      <w:r w:rsidRPr="00955E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5E48">
        <w:rPr>
          <w:rFonts w:ascii="Times New Roman" w:hAnsi="Times New Roman" w:cs="Times New Roman"/>
          <w:sz w:val="24"/>
          <w:szCs w:val="24"/>
        </w:rPr>
        <w:t xml:space="preserve"> тіршілігінің қауіпсіздігі» мамандығы.</w:t>
      </w: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tabs>
          <w:tab w:val="center" w:pos="2231"/>
          <w:tab w:val="center" w:pos="4679"/>
        </w:tabs>
        <w:spacing w:after="27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нысаны-тестілеу  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3 курс студенттері, бакалавриат, «Қоршаған ортаны қорғау және өмір тіршілігінің қауіпсіздігі» мамандығы.  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(кестені қарау) 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платформа: 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«СДО Moodle» жүйесі.  </w:t>
      </w:r>
    </w:p>
    <w:p w:rsidR="00C54531" w:rsidRPr="006D1BA4" w:rsidRDefault="00C54531" w:rsidP="00C54531">
      <w:pPr>
        <w:spacing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онлайн.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Тест сұрақтарының саны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50 сұрақ (сұрақтардың жауабтары тұрады: </w:t>
      </w:r>
    </w:p>
    <w:p w:rsidR="00C54531" w:rsidRPr="006D1BA4" w:rsidRDefault="00C54531" w:rsidP="00C54531">
      <w:pPr>
        <w:ind w:left="-5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C54531" w:rsidRPr="006D1BA4" w:rsidRDefault="00C54531" w:rsidP="00C54531">
      <w:pPr>
        <w:spacing w:after="25"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Тестілеуден өтуді бақылау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-онлайн прокторинг. 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C54531" w:rsidRPr="006D1BA4" w:rsidRDefault="00C54531" w:rsidP="00C54531">
      <w:pPr>
        <w:spacing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60 минут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: жүйе дұрыс жауаптардың кілттері бойынша автоматты түрде тексереді,1 әрекет (тесттерді жүктеу кезінде оқытушы уақытты және әрекеттер санын қолмен қояды).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-48 сағатқа дейін.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 Бейнежазба емтихан соңында, барлық емтихан алушылардың жауаптары қабылданған кезде ғана өшіріледі. 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Емтихан тапсыру қорытындысы бойынша: </w:t>
      </w:r>
    </w:p>
    <w:p w:rsidR="00C54531" w:rsidRPr="006D1BA4" w:rsidRDefault="00C54531" w:rsidP="00C54531">
      <w:pPr>
        <w:ind w:left="57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- оқытушы немесе Комиссия емтиханға қатысушыларды аттестаттайды;  - Univer жүйесінде қорытынды ведомоске балл қояды.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Тестілеу нәтижелері прокторинг нәтижелері бойынша қайта қаралуы мүмкін. Егер студент тестілеуден өту ережелерін бұзса, оның нәтижесі жойылады. </w:t>
      </w:r>
    </w:p>
    <w:p w:rsidR="00C54531" w:rsidRPr="006D1BA4" w:rsidRDefault="00C54531" w:rsidP="00C54531">
      <w:pPr>
        <w:spacing w:after="33" w:line="259" w:lineRule="auto"/>
        <w:ind w:left="566"/>
        <w:rPr>
          <w:rFonts w:ascii="Times New Roman" w:hAnsi="Times New Roman" w:cs="Times New Roman"/>
          <w:sz w:val="24"/>
          <w:szCs w:val="24"/>
          <w:lang w:val="kk-KZ"/>
        </w:rPr>
      </w:pPr>
    </w:p>
    <w:p w:rsidR="00C54531" w:rsidRPr="006D1BA4" w:rsidRDefault="00C54531" w:rsidP="00C54531">
      <w:pPr>
        <w:spacing w:line="259" w:lineRule="auto"/>
        <w:ind w:left="561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Бағалау саясаты  </w:t>
      </w: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  <w:lang w:val="kk-KZ"/>
        </w:rPr>
      </w:pPr>
      <w:r w:rsidRPr="006D1BA4">
        <w:rPr>
          <w:rFonts w:ascii="Times New Roman" w:hAnsi="Times New Roman" w:cs="Times New Roman"/>
          <w:sz w:val="24"/>
          <w:szCs w:val="24"/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үрлі</w:t>
            </w:r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те жақсы </w:t>
            </w: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Жақсы </w:t>
            </w: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Қанағаттанарлық </w:t>
            </w: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31" w:rsidRPr="006D1BA4" w:rsidTr="00C7598B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lef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4531" w:rsidRPr="006D1BA4" w:rsidRDefault="00C54531" w:rsidP="00C7598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A4">
              <w:rPr>
                <w:rFonts w:ascii="Times New Roman" w:hAnsi="Times New Roman" w:cs="Times New Roman"/>
                <w:sz w:val="24"/>
                <w:szCs w:val="24"/>
              </w:rPr>
              <w:t xml:space="preserve">Қанағаттанарлықсыз </w:t>
            </w:r>
          </w:p>
        </w:tc>
      </w:tr>
    </w:tbl>
    <w:p w:rsidR="00C54531" w:rsidRPr="006D1BA4" w:rsidRDefault="00C54531" w:rsidP="00C54531">
      <w:pPr>
        <w:spacing w:line="259" w:lineRule="auto"/>
        <w:ind w:left="566"/>
        <w:rPr>
          <w:rFonts w:ascii="Times New Roman" w:hAnsi="Times New Roman" w:cs="Times New Roman"/>
          <w:sz w:val="24"/>
          <w:szCs w:val="24"/>
        </w:rPr>
      </w:pPr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</w:rPr>
      </w:pP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жұмысының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бағасы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билеттегі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барлық сұрақтардың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</w:p>
    <w:p w:rsidR="00C54531" w:rsidRPr="006D1BA4" w:rsidRDefault="00C54531" w:rsidP="00C54531">
      <w:pPr>
        <w:ind w:left="-15" w:firstLine="566"/>
        <w:rPr>
          <w:rFonts w:ascii="Times New Roman" w:hAnsi="Times New Roman" w:cs="Times New Roman"/>
          <w:sz w:val="24"/>
          <w:szCs w:val="24"/>
        </w:rPr>
      </w:pPr>
      <w:r w:rsidRPr="006D1BA4">
        <w:rPr>
          <w:rFonts w:ascii="Times New Roman" w:hAnsi="Times New Roman" w:cs="Times New Roman"/>
          <w:sz w:val="24"/>
          <w:szCs w:val="24"/>
        </w:rPr>
        <w:t xml:space="preserve">арифметикалық мәні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BA4">
        <w:rPr>
          <w:rFonts w:ascii="Times New Roman" w:hAnsi="Times New Roman" w:cs="Times New Roman"/>
          <w:sz w:val="24"/>
          <w:szCs w:val="24"/>
        </w:rPr>
        <w:t>есептеледі</w:t>
      </w:r>
      <w:proofErr w:type="spellEnd"/>
      <w:r w:rsidRPr="006D1BA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54531" w:rsidRDefault="00C54531" w:rsidP="00C54531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C54531" w:rsidRDefault="00C54531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6D1BA4" w:rsidRDefault="006D1BA4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6D1BA4" w:rsidRDefault="006D1BA4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6D1BA4" w:rsidRDefault="006D1BA4" w:rsidP="00C54531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F3415F" w:rsidRPr="00955E48" w:rsidRDefault="00F3415F" w:rsidP="00F3415F">
      <w:pPr>
        <w:tabs>
          <w:tab w:val="left" w:pos="1695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55E48">
        <w:rPr>
          <w:rFonts w:ascii="Times New Roman" w:hAnsi="Times New Roman" w:cs="Times New Roman"/>
          <w:sz w:val="24"/>
          <w:szCs w:val="24"/>
        </w:rPr>
        <w:lastRenderedPageBreak/>
        <w:t>КІ</w:t>
      </w:r>
      <w:proofErr w:type="gramStart"/>
      <w:r w:rsidRPr="00955E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5E48">
        <w:rPr>
          <w:rFonts w:ascii="Times New Roman" w:hAnsi="Times New Roman" w:cs="Times New Roman"/>
          <w:sz w:val="24"/>
          <w:szCs w:val="24"/>
        </w:rPr>
        <w:t>ІСПЕ</w:t>
      </w:r>
    </w:p>
    <w:p w:rsidR="00C54531" w:rsidRPr="00955E48" w:rsidRDefault="00F3415F" w:rsidP="00C54531">
      <w:pPr>
        <w:tabs>
          <w:tab w:val="left" w:pos="1695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955E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>Өндірістің жағымсыз факторлары</w:t>
      </w:r>
      <w:r w:rsidRPr="00955E4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955E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55E48">
        <w:rPr>
          <w:rFonts w:ascii="Times New Roman" w:hAnsi="Times New Roman" w:cs="Times New Roman"/>
          <w:sz w:val="24"/>
          <w:szCs w:val="24"/>
        </w:rPr>
        <w:t xml:space="preserve"> пәнінің оқу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процесіндегі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басқару жүйесі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, өндірістегі қауіпсіз және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зиянсыз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еңбек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ұйымдастыру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меңгеру,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студенттерді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Қазақстан Республикасының заңнамалық және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актілерімен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жазатайым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жағдайлармен кәсіптік аурулардың қауіпін төмендету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55E48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955E48">
        <w:rPr>
          <w:rFonts w:ascii="Times New Roman" w:hAnsi="Times New Roman" w:cs="Times New Roman"/>
          <w:sz w:val="24"/>
          <w:szCs w:val="24"/>
        </w:rPr>
        <w:t>;.</w:t>
      </w:r>
    </w:p>
    <w:p w:rsidR="00C54531" w:rsidRPr="00955E48" w:rsidRDefault="00C54531" w:rsidP="00C5453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955E48">
        <w:rPr>
          <w:rFonts w:ascii="Times New Roman" w:hAnsi="Times New Roman" w:cs="Times New Roman"/>
          <w:sz w:val="24"/>
          <w:szCs w:val="24"/>
          <w:lang w:val="kk-KZ" w:eastAsia="ar-SA"/>
        </w:rPr>
        <w:t>Пәннің мақсаты</w:t>
      </w:r>
      <w:r w:rsidRPr="00955E4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- </w:t>
      </w:r>
      <w:r w:rsidRPr="00955E48">
        <w:rPr>
          <w:rFonts w:ascii="Times New Roman" w:hAnsi="Times New Roman" w:cs="Times New Roman"/>
          <w:sz w:val="24"/>
          <w:szCs w:val="24"/>
          <w:lang w:val="kk-KZ" w:eastAsia="ar-SA"/>
        </w:rPr>
        <w:t>қызметкердің жұмыс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F3415F" w:rsidRPr="00F3415F" w:rsidRDefault="00F3415F" w:rsidP="00F3415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15F">
        <w:rPr>
          <w:rFonts w:ascii="Times New Roman" w:hAnsi="Times New Roman" w:cs="Times New Roman"/>
          <w:b/>
          <w:sz w:val="24"/>
          <w:szCs w:val="24"/>
        </w:rPr>
        <w:t>Қорытынды бақ</w:t>
      </w:r>
      <w:proofErr w:type="gramStart"/>
      <w:r w:rsidRPr="00F3415F">
        <w:rPr>
          <w:rFonts w:ascii="Times New Roman" w:hAnsi="Times New Roman" w:cs="Times New Roman"/>
          <w:b/>
          <w:sz w:val="24"/>
          <w:szCs w:val="24"/>
        </w:rPr>
        <w:t>ылау</w:t>
      </w:r>
      <w:proofErr w:type="gramEnd"/>
      <w:r w:rsidRPr="00F3415F">
        <w:rPr>
          <w:rFonts w:ascii="Times New Roman" w:hAnsi="Times New Roman" w:cs="Times New Roman"/>
          <w:b/>
          <w:sz w:val="24"/>
          <w:szCs w:val="24"/>
        </w:rPr>
        <w:t>ға арналған тақырыптар</w:t>
      </w:r>
    </w:p>
    <w:p w:rsidR="00F3415F" w:rsidRPr="00955E48" w:rsidRDefault="00F3415F" w:rsidP="00955E48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bCs/>
          <w:color w:val="000000" w:themeColor="text1"/>
          <w:lang w:val="kk-KZ" w:eastAsia="ko-KR"/>
        </w:rPr>
      </w:pPr>
      <w:r w:rsidRPr="00955E48">
        <w:rPr>
          <w:rFonts w:ascii="Times New Roman" w:hAnsi="Times New Roman" w:cs="Times New Roman"/>
          <w:lang w:val="kk-KZ" w:eastAsia="ko-KR"/>
        </w:rPr>
        <w:t>Кiрiспе.</w:t>
      </w:r>
      <w:r w:rsidRPr="00955E48">
        <w:rPr>
          <w:rFonts w:ascii="Times New Roman" w:hAnsi="Times New Roman" w:cs="Times New Roman"/>
          <w:bCs/>
          <w:color w:val="000000" w:themeColor="text1"/>
          <w:lang w:val="kk-KZ" w:eastAsia="ko-KR"/>
        </w:rPr>
        <w:t>Еңбек қорғаудың құқықтық және ұйымдастырушылық мәселелері.</w:t>
      </w:r>
    </w:p>
    <w:p w:rsidR="00F3415F" w:rsidRPr="00955E48" w:rsidRDefault="00F3415F" w:rsidP="00955E48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lang w:val="kk-KZ" w:eastAsia="ar-SA"/>
        </w:rPr>
      </w:pPr>
      <w:r w:rsidRPr="00955E48">
        <w:rPr>
          <w:rFonts w:ascii="Times New Roman" w:hAnsi="Times New Roman" w:cs="Times New Roman"/>
          <w:lang w:val="kk-KZ" w:eastAsia="ko-KR"/>
        </w:rPr>
        <w:t>Өнеркәсіптік қауіпсіздік саласындағы заңнамалық және құқықтық актілер.</w:t>
      </w:r>
      <w:r w:rsidRPr="00955E48">
        <w:rPr>
          <w:rFonts w:ascii="Times New Roman" w:eastAsia="Calibri" w:hAnsi="Times New Roman" w:cs="Times New Roman"/>
          <w:lang w:val="kk-KZ"/>
        </w:rPr>
        <w:t>ҚР Еңбек кодексінде белгіленген еңбек қорғаудың талаптары</w:t>
      </w:r>
    </w:p>
    <w:p w:rsidR="00F3415F" w:rsidRPr="00955E48" w:rsidRDefault="00F3415F" w:rsidP="00955E48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lang w:val="kk-KZ" w:eastAsia="ar-SA"/>
        </w:rPr>
      </w:pPr>
      <w:r w:rsidRPr="00955E48">
        <w:rPr>
          <w:rFonts w:ascii="Times New Roman" w:eastAsia="Calibri" w:hAnsi="Times New Roman" w:cs="Times New Roman"/>
          <w:bCs/>
          <w:lang w:val="kk-KZ"/>
        </w:rPr>
        <w:t>Еңбек жағдайын қалыптастыруға әсер ететін факторлар</w:t>
      </w:r>
    </w:p>
    <w:p w:rsidR="00F3415F" w:rsidRPr="00955E48" w:rsidRDefault="00F3415F" w:rsidP="00955E48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lang w:val="kk-KZ" w:eastAsia="ar-SA"/>
        </w:rPr>
      </w:pPr>
      <w:r w:rsidRPr="00955E48">
        <w:rPr>
          <w:rFonts w:ascii="Times New Roman" w:eastAsia="Calibri" w:hAnsi="Times New Roman" w:cs="Times New Roman"/>
          <w:bCs/>
          <w:lang w:val="kk-KZ"/>
        </w:rPr>
        <w:t>Зиянды факторлар және олардың жіктелуі. Қауіпті және зиянды өндіріс факторлары. Шетел тәжірибелерін зерделеу</w:t>
      </w:r>
    </w:p>
    <w:p w:rsidR="00F3415F" w:rsidRPr="00955E48" w:rsidRDefault="00F3415F" w:rsidP="00955E48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lang w:val="kk-KZ" w:eastAsia="ar-SA"/>
        </w:rPr>
      </w:pPr>
      <w:r w:rsidRPr="00955E48">
        <w:rPr>
          <w:rFonts w:ascii="Times New Roman" w:eastAsia="Calibri" w:hAnsi="Times New Roman" w:cs="Times New Roman"/>
          <w:lang w:val="kk-KZ"/>
        </w:rPr>
        <w:t>ЖАҒЫМСЫЗ ФАКТОРЛАРДЫҢ КӨЗДЕРІ МЕН СИПАТТАМАЛАРЫ, АДАМҒА ӘСЕРІ</w:t>
      </w:r>
    </w:p>
    <w:p w:rsidR="00F3415F" w:rsidRPr="00955E48" w:rsidRDefault="00F3415F" w:rsidP="00955E48">
      <w:pPr>
        <w:pStyle w:val="a4"/>
        <w:numPr>
          <w:ilvl w:val="0"/>
          <w:numId w:val="1"/>
        </w:numPr>
        <w:spacing w:after="0"/>
        <w:ind w:left="357" w:hanging="357"/>
        <w:rPr>
          <w:rFonts w:ascii="Times New Roman" w:hAnsi="Times New Roman" w:cs="Times New Roman"/>
          <w:lang w:val="kk-KZ" w:eastAsia="ar-SA"/>
        </w:rPr>
      </w:pPr>
      <w:r w:rsidRPr="00955E48">
        <w:rPr>
          <w:rFonts w:ascii="Times New Roman" w:eastAsia="Calibri" w:hAnsi="Times New Roman" w:cs="Times New Roman"/>
          <w:lang w:val="kk-KZ"/>
        </w:rPr>
        <w:t>Өндірістегі қайғылы оқиғалардың түрлерін тексеру және есепке алу</w:t>
      </w:r>
    </w:p>
    <w:p w:rsidR="00F3415F" w:rsidRPr="00955E48" w:rsidRDefault="00F3415F" w:rsidP="00955E48">
      <w:pPr>
        <w:pStyle w:val="HTML"/>
        <w:numPr>
          <w:ilvl w:val="0"/>
          <w:numId w:val="1"/>
        </w:numPr>
        <w:shd w:val="clear" w:color="auto" w:fill="F8F9FA"/>
        <w:ind w:left="357" w:hanging="357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955E48">
        <w:rPr>
          <w:rFonts w:ascii="Times New Roman" w:hAnsi="Times New Roman" w:cs="Times New Roman"/>
          <w:sz w:val="22"/>
          <w:szCs w:val="22"/>
          <w:lang w:val="kk-KZ" w:eastAsia="ko-KR"/>
        </w:rPr>
        <w:t>Өндірістік санитарияның маңызы мен міндеттері</w:t>
      </w:r>
    </w:p>
    <w:p w:rsidR="00F3415F" w:rsidRPr="00F3415F" w:rsidRDefault="00F3415F" w:rsidP="00F3415F">
      <w:pPr>
        <w:pStyle w:val="a4"/>
        <w:ind w:left="927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C54531" w:rsidRPr="00955E48" w:rsidRDefault="00F3415F" w:rsidP="00955E4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3415F">
        <w:rPr>
          <w:rFonts w:ascii="Times New Roman" w:hAnsi="Times New Roman" w:cs="Times New Roman"/>
          <w:b/>
          <w:sz w:val="28"/>
          <w:lang w:val="kk-KZ"/>
        </w:rPr>
        <w:t>Е</w:t>
      </w:r>
      <w:r w:rsidR="00C54531" w:rsidRPr="00F3415F">
        <w:rPr>
          <w:rFonts w:ascii="Times New Roman" w:hAnsi="Times New Roman" w:cs="Times New Roman"/>
          <w:b/>
          <w:sz w:val="28"/>
          <w:lang w:val="kk-KZ"/>
        </w:rPr>
        <w:t>мтихан сұрақтарының тақырыбы</w:t>
      </w:r>
    </w:p>
    <w:tbl>
      <w:tblPr>
        <w:tblStyle w:val="a3"/>
        <w:tblW w:w="8596" w:type="dxa"/>
        <w:jc w:val="center"/>
        <w:tblLayout w:type="fixed"/>
        <w:tblLook w:val="04A0"/>
      </w:tblPr>
      <w:tblGrid>
        <w:gridCol w:w="474"/>
        <w:gridCol w:w="8122"/>
      </w:tblGrid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  <w:t>Өндіріс орындарындағы қауіпті және зиянды факторларды жіктеңіз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Өндірістік бақылауды жүзеге асыру да бірнеше міндеттер шешіледі: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15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  <w:t>Өнеркәсіптік қауіпсіздік саласындағы қызмет түрлері: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</w:rPr>
              <w:t xml:space="preserve">Қазақстан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Республикасы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</w:rPr>
              <w:t xml:space="preserve"> еңбек заң</w:t>
            </w:r>
            <w:proofErr w:type="gramStart"/>
            <w:r w:rsidRPr="00955E48">
              <w:rPr>
                <w:rFonts w:ascii="Times New Roman" w:hAnsi="Times New Roman"/>
                <w:sz w:val="22"/>
                <w:szCs w:val="22"/>
              </w:rPr>
              <w:t>намасыны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</w:rPr>
              <w:t>ң қағидаттары: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15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1997 жылы 15 шілде қабылданған Қазақстан Республиқасының «Қоршаған ортаны қорғау туралы» заңына сәйкес бекітілген қағидалар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8122" w:type="dxa"/>
            <w:shd w:val="clear" w:color="auto" w:fill="FFFFFF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Жаңа кодекс қандай ұйымдардың еңбек стандарттарына негізделген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8122" w:type="dxa"/>
            <w:shd w:val="clear" w:color="auto" w:fill="FFFFFF"/>
          </w:tcPr>
          <w:p w:rsidR="00C54531" w:rsidRPr="00955E48" w:rsidRDefault="00C54531" w:rsidP="00955E48">
            <w:pPr>
              <w:shd w:val="clear" w:color="auto" w:fill="FFFFFF"/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Пайда болатын қатерлі ісік ауруларының 75-80%-ы қандай химиялық заттардың әсерінен?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Қазақстан Республикасының еңбек заңнамасы қандай актілерден тұрады?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9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</w:rPr>
              <w:t>Қысыммен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жұмыс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істейтін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жабдықтарды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пайдалану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кезінде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 w:rsidRPr="00955E48">
              <w:rPr>
                <w:rFonts w:ascii="Times New Roman" w:hAnsi="Times New Roman"/>
                <w:sz w:val="22"/>
                <w:szCs w:val="22"/>
              </w:rPr>
              <w:t>өнеркәсі</w:t>
            </w:r>
            <w:proofErr w:type="gramStart"/>
            <w:r w:rsidRPr="00955E48">
              <w:rPr>
                <w:rFonts w:ascii="Times New Roman" w:hAnsi="Times New Roman"/>
                <w:sz w:val="22"/>
                <w:szCs w:val="22"/>
              </w:rPr>
              <w:t>пт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</w:rPr>
              <w:t>ік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қауіпсіздікті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қамтамасыз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ету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қағидаларын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да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мынадай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терминдер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пайдаланыл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а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ды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10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Қазақстан </w:t>
            </w:r>
            <w:proofErr w:type="spellStart"/>
            <w:r w:rsidRPr="00955E48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Республикасы</w:t>
            </w:r>
            <w:proofErr w:type="spellEnd"/>
            <w:r w:rsidRPr="00955E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еңбек заңнамасының </w:t>
            </w:r>
            <w:proofErr w:type="spellStart"/>
            <w:r w:rsidRPr="00955E48">
              <w:rPr>
                <w:rFonts w:ascii="Times New Roman" w:hAnsi="Times New Roman"/>
                <w:color w:val="000000"/>
                <w:sz w:val="22"/>
                <w:szCs w:val="22"/>
              </w:rPr>
              <w:t>міндеттері</w:t>
            </w:r>
            <w:proofErr w:type="spellEnd"/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11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Салыстырмалы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ылғалдылық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 </w:t>
            </w: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белгілі бі</w:t>
            </w:r>
            <w:proofErr w:type="gramStart"/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р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температураның ауадағы фактілік су буларының мөлшері г/м 3 ;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12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Микроклимат – бұл кішігірім ашық немесе жабық кеңістіктердегі (ондаған және жүздеген метрге дейін) адам ағзасына әсер ететін ауа ортасының физикалық параметрлерінің жиынтығымен анықталатын метеорологиялық жағдайлар.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13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Абсолюттік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ылғалдылық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абсолюттік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ылғалдылықтың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максималды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ылғ</w:t>
            </w:r>
            <w:proofErr w:type="gramStart"/>
            <w:r w:rsidRPr="00955E48">
              <w:rPr>
                <w:rFonts w:ascii="Times New Roman" w:hAnsi="Times New Roman"/>
                <w:sz w:val="22"/>
                <w:szCs w:val="22"/>
              </w:rPr>
              <w:t>алдылы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</w:rPr>
              <w:t>ққа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проценттік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қатынасы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%. </w:t>
            </w: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-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14</w:t>
            </w:r>
          </w:p>
        </w:tc>
        <w:tc>
          <w:tcPr>
            <w:tcW w:w="8122" w:type="dxa"/>
            <w:shd w:val="clear" w:color="auto" w:fill="auto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kk-KZ"/>
              </w:rPr>
              <w:t>өндірістік факторлар рұқсат етілген шекті деңгейіне, қауіпті деңгейіне және зиянды деңгейіне ажыратылады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15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Қауіпті жағдай -  өндірістік ортаның қабылданған нормаға сәйкес келмейтін әрекет жасауы.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16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Жазатайым оқиға - бұл өндірісітік қауіпті факторлардың адамға әсер етуімен байланысты, жұмыс орнындағы жағдай, ал кейде зиянды өндірістік қауіпті факторлардың әсері.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17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pacing w:val="2"/>
                <w:sz w:val="22"/>
                <w:szCs w:val="22"/>
                <w:lang w:val="kk-KZ"/>
              </w:rPr>
              <w:t>Өндірістік ортаның метеорологиялық жағдайларының оңтайлы үйлесімі жайлылық деп аталады.;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18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proofErr w:type="gramStart"/>
            <w:r w:rsidRPr="00955E4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</w:rPr>
              <w:t>ұқсат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етілген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микроклиматық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жағдайлар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ұзақ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және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жүйелі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әсер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болған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жағдайда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адамның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әл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-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ауқатының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нашарлауы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жергілікті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ыңғайсыздық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сезімі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және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тұтастай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алғанда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өнімділіктің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төмендеуі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мүмкін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19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2295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</w:rPr>
              <w:t>Санитарлық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 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қызметтің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 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өнеркәсі</w:t>
            </w:r>
            <w:proofErr w:type="gramStart"/>
            <w:r w:rsidRPr="00955E4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 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қызметін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қадағалауда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   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негізгі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алдына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қойған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мақсаты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-  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кәсіби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аурушаңдықтың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алдын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алуға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бағытталған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шараларды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азайту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болып табылады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.  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20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Жазатайым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оқиғалардын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тексеру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материалдары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кәсіпорынында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35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жыл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55E48">
              <w:rPr>
                <w:rFonts w:ascii="Times New Roman" w:hAnsi="Times New Roman"/>
                <w:sz w:val="22"/>
                <w:szCs w:val="22"/>
              </w:rPr>
              <w:t>бойы</w:t>
            </w:r>
            <w:proofErr w:type="spellEnd"/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сақталынады</w:t>
            </w: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21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Еңбек жағдайын, гигиеналық нормативтерді және профилактикалық шараларды құруға бағытталған жүйені атаңыз: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22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Өндірісті ортадағы ауаның санитарлы -гигиеналық қатынастары келесіде сипатталады: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23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Жазатайым оқиғаны арнайы тергеу жүргізілетін мерзімді көрсетіңіз: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24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Зиянды факторлардың мөлшері мен шамасы байланысты: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Өндірістік аварияны тергеу кезінде:</w:t>
            </w:r>
          </w:p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Еңбек жағдайларындағы техникалық факторлар:</w:t>
            </w:r>
          </w:p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Химиялық заттармен байланыс</w:t>
            </w: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жататын </w:t>
            </w: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техникалық фактор: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28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Өнеркәсіптік қауіпсіздіктің басты мақсаты: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29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Улы химикаттармен жұмыс жасағандағы қауіпсіздік талаптарындағы гербицид термині: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>30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955E48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Төмендегі әдістердің қайсысы шуылдан қорғау әдістеріне жататынын анықтаңыз: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31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/>
              </w:rPr>
              <w:t>Жергілікті электр жарақаттарының түрлеріне мыналар жатады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32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 w:eastAsia="en-GB"/>
              </w:rPr>
            </w:pPr>
            <w:r w:rsidRPr="00955E48">
              <w:rPr>
                <w:rFonts w:ascii="Times New Roman" w:hAnsi="Times New Roman"/>
                <w:color w:val="1A1A1A" w:themeColor="background1" w:themeShade="1A"/>
                <w:sz w:val="22"/>
                <w:szCs w:val="22"/>
                <w:lang w:val="kk-KZ"/>
              </w:rPr>
              <w:t>Қоғам қажеттіліктерін өндіру және қызмет көрсету процестерін жүзеге асыру үшін жасалатын құрал жиынтығы</w:t>
            </w:r>
          </w:p>
        </w:tc>
      </w:tr>
      <w:tr w:rsidR="00C54531" w:rsidRPr="00955E4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33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2"/>
                <w:szCs w:val="22"/>
                <w:lang w:val="kk-KZ" w:eastAsia="en-GB"/>
              </w:rPr>
            </w:pPr>
            <w:r w:rsidRPr="00955E48">
              <w:rPr>
                <w:rFonts w:ascii="Times New Roman" w:hAnsi="Times New Roman"/>
                <w:color w:val="1A1A1A" w:themeColor="background1" w:themeShade="1A"/>
                <w:sz w:val="22"/>
                <w:szCs w:val="22"/>
                <w:lang w:val="kk-KZ"/>
              </w:rPr>
              <w:t>Әртүрлі жиіліктер мен күштері бар дыбыстардың кездейсоқ тоғысуы</w:t>
            </w:r>
          </w:p>
        </w:tc>
      </w:tr>
      <w:tr w:rsidR="00C54531" w:rsidRPr="0060108C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34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1A1A1A" w:themeColor="background1" w:themeShade="1A"/>
                <w:sz w:val="22"/>
                <w:szCs w:val="22"/>
                <w:lang w:val="kk-KZ"/>
              </w:rPr>
              <w:t>Атмосфераны ластайтын антропогендік көздер:</w:t>
            </w:r>
          </w:p>
        </w:tc>
      </w:tr>
      <w:tr w:rsidR="00C54531" w:rsidRPr="000551A8" w:rsidTr="00C7598B">
        <w:trPr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en-GB"/>
              </w:rPr>
              <w:t>35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tabs>
                <w:tab w:val="left" w:pos="426"/>
              </w:tabs>
              <w:spacing w:before="100" w:beforeAutospacing="1" w:afterAutospacing="1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1A1A1A" w:themeColor="background1" w:themeShade="1A"/>
                <w:sz w:val="22"/>
                <w:szCs w:val="22"/>
                <w:lang w:val="kk-KZ"/>
              </w:rPr>
              <w:t>Өндірістік жарақаттар бөлінеді:</w:t>
            </w:r>
          </w:p>
        </w:tc>
      </w:tr>
      <w:tr w:rsidR="00C54531" w:rsidTr="00C7598B">
        <w:tblPrEx>
          <w:tblLook w:val="0000"/>
        </w:tblPrEx>
        <w:trPr>
          <w:trHeight w:val="493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C54531" w:rsidRPr="00955E48" w:rsidRDefault="00955E48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C54531" w:rsidRPr="00955E48" w:rsidRDefault="00C54531" w:rsidP="00955E48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Н-1 формасындағы акт жасалады:</w:t>
            </w:r>
          </w:p>
        </w:tc>
      </w:tr>
      <w:tr w:rsidR="00C54531" w:rsidRPr="00955E48" w:rsidTr="00C7598B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C54531" w:rsidRPr="00955E48" w:rsidRDefault="00955E48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Жұмысшының (оператордың, жүргізушінің, слесарьдың, токарьдың) нақты жағдайдағы кәсіптік қимыл нормасына сәйкес келмейтін әрекет жасауы:</w:t>
            </w:r>
          </w:p>
        </w:tc>
      </w:tr>
      <w:tr w:rsidR="00C54531" w:rsidRPr="00955E48" w:rsidTr="00C7598B">
        <w:tblPrEx>
          <w:tblLook w:val="0000"/>
        </w:tblPrEx>
        <w:trPr>
          <w:trHeight w:val="512"/>
          <w:jc w:val="center"/>
        </w:trPr>
        <w:tc>
          <w:tcPr>
            <w:tcW w:w="474" w:type="dxa"/>
          </w:tcPr>
          <w:p w:rsidR="00C54531" w:rsidRPr="00955E48" w:rsidRDefault="00955E48" w:rsidP="00955E48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38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Сырттан келген факторлардың әсерінен болатын жарақат:</w:t>
            </w:r>
          </w:p>
          <w:p w:rsidR="00C54531" w:rsidRPr="00955E48" w:rsidRDefault="00C54531" w:rsidP="00955E48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</w:tc>
      </w:tr>
      <w:tr w:rsidR="00C54531" w:rsidRPr="00955E48" w:rsidTr="00C7598B">
        <w:tblPrEx>
          <w:tblLook w:val="0000"/>
        </w:tblPrEx>
        <w:trPr>
          <w:trHeight w:val="549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39</w:t>
            </w:r>
          </w:p>
          <w:p w:rsidR="00C54531" w:rsidRPr="00955E48" w:rsidRDefault="00C54531" w:rsidP="00C7598B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Жазатайым оқиға туралы жұмыс берушіні хабардар етеді:</w:t>
            </w:r>
          </w:p>
        </w:tc>
      </w:tr>
      <w:tr w:rsidR="00C54531" w:rsidTr="00C7598B">
        <w:tblPrEx>
          <w:tblLook w:val="0000"/>
        </w:tblPrEx>
        <w:trPr>
          <w:trHeight w:val="303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40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Жұмыста табыстары үшін көтермелеу жатады:</w:t>
            </w:r>
          </w:p>
        </w:tc>
      </w:tr>
      <w:tr w:rsidR="00C54531" w:rsidTr="00C7598B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41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  <w:lang w:val="kk-KZ"/>
              </w:rPr>
              <w:t>Еңбек жағдайларыныңтехникалық факторының үлесі,%</w:t>
            </w:r>
          </w:p>
        </w:tc>
      </w:tr>
      <w:tr w:rsidR="00C54531" w:rsidTr="00C7598B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C54531" w:rsidRPr="00955E48" w:rsidRDefault="00955E48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42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</w:rPr>
              <w:t>Біржұмысшыға</w:t>
            </w: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қабылданатын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өнді</w:t>
            </w:r>
            <w:proofErr w:type="gramStart"/>
            <w:r w:rsidRPr="00955E4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955E48">
              <w:rPr>
                <w:rFonts w:ascii="Times New Roman" w:hAnsi="Times New Roman"/>
                <w:sz w:val="22"/>
                <w:szCs w:val="22"/>
              </w:rPr>
              <w:t>істікғимараттыңкөлемі</w:t>
            </w:r>
            <w:r w:rsidRPr="00955E4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Pr="00955E48">
              <w:rPr>
                <w:rFonts w:ascii="Times New Roman" w:hAnsi="Times New Roman"/>
                <w:sz w:val="22"/>
                <w:szCs w:val="22"/>
              </w:rPr>
              <w:t>м</w:t>
            </w:r>
            <w:r w:rsidRPr="00955E48">
              <w:rPr>
                <w:rFonts w:ascii="Times New Roman" w:hAnsi="Times New Roman"/>
                <w:sz w:val="22"/>
                <w:szCs w:val="22"/>
                <w:vertAlign w:val="superscript"/>
                <w:lang w:val="kk-KZ"/>
              </w:rPr>
              <w:t>3</w:t>
            </w:r>
          </w:p>
        </w:tc>
      </w:tr>
      <w:tr w:rsidR="00C54531" w:rsidRPr="00955E48" w:rsidTr="00C7598B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43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Мекеме классы ІІ-ге жататын аймақтың өлшемі,м</w:t>
            </w:r>
          </w:p>
        </w:tc>
      </w:tr>
      <w:tr w:rsidR="00C54531" w:rsidTr="00C7598B">
        <w:tblPrEx>
          <w:tblLook w:val="0000"/>
        </w:tblPrEx>
        <w:trPr>
          <w:trHeight w:val="114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44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Виброжылдамдықпенвиброүдеудіңдецибелдікдеңгейлерісәйкескелетінмөлшер</w:t>
            </w: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955E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Гц</w:t>
            </w:r>
          </w:p>
        </w:tc>
      </w:tr>
      <w:tr w:rsidR="00C54531" w:rsidRPr="00955E48" w:rsidTr="00C7598B">
        <w:tblPrEx>
          <w:tblLook w:val="0000"/>
        </w:tblPrEx>
        <w:trPr>
          <w:trHeight w:val="170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45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Адамның есту мүшелері дыбыс толқындарының тербелістерін қабылдайалады</w:t>
            </w:r>
          </w:p>
        </w:tc>
      </w:tr>
      <w:tr w:rsidR="00C54531" w:rsidRPr="00955E48" w:rsidTr="00C7598B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46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Өндірістік мекемелерді III классының санитарлы қорғаныстық аймақтық өлшемі</w:t>
            </w:r>
          </w:p>
        </w:tc>
      </w:tr>
      <w:tr w:rsidR="00C54531" w:rsidRPr="00955E48" w:rsidTr="00C7598B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47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Жарылыс кезінде ыдыстағы сығылған газдың адиабаттық кеңею жұмысының мөлшерін анықтау кезінде ауа үшін адиабата көрсеткіші</w:t>
            </w:r>
          </w:p>
        </w:tc>
      </w:tr>
      <w:tr w:rsidR="00C54531" w:rsidRPr="00955E48" w:rsidTr="00C7598B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48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Қазандар мезгілінде техникалық куәландырудан ішін байқау бойынша 1 жылдаөту саны</w:t>
            </w:r>
          </w:p>
        </w:tc>
      </w:tr>
      <w:tr w:rsidR="00C54531" w:rsidRPr="00955E48" w:rsidTr="00C7598B">
        <w:tblPrEx>
          <w:tblLook w:val="0000"/>
        </w:tblPrEx>
        <w:trPr>
          <w:trHeight w:val="326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49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Қазандар мезгілінде техникалық куәландырудан сыртқы байқау бойынша жылына өту саны</w:t>
            </w:r>
          </w:p>
        </w:tc>
      </w:tr>
      <w:tr w:rsidR="00C54531" w:rsidRPr="00955E48" w:rsidTr="00C7598B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C54531" w:rsidRPr="00955E48" w:rsidRDefault="00C54531" w:rsidP="00C7598B">
            <w:pPr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sz w:val="22"/>
                <w:szCs w:val="22"/>
                <w:lang w:val="kk-KZ"/>
              </w:rPr>
              <w:t>50</w:t>
            </w:r>
          </w:p>
        </w:tc>
        <w:tc>
          <w:tcPr>
            <w:tcW w:w="8122" w:type="dxa"/>
          </w:tcPr>
          <w:p w:rsidR="00C54531" w:rsidRPr="00955E48" w:rsidRDefault="00C54531" w:rsidP="00955E48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55E48">
              <w:rPr>
                <w:rFonts w:ascii="Times New Roman" w:hAnsi="Times New Roman"/>
                <w:iCs/>
                <w:sz w:val="22"/>
                <w:szCs w:val="22"/>
                <w:lang w:val="kk-KZ"/>
              </w:rPr>
              <w:t>Гидравликалық сынау жүргізгенде сынау қысымы жұмыс қысымынан осынша есе артық болуы тиіс</w:t>
            </w:r>
          </w:p>
        </w:tc>
      </w:tr>
    </w:tbl>
    <w:p w:rsidR="00C54531" w:rsidRDefault="00C54531" w:rsidP="00C54531">
      <w:pPr>
        <w:jc w:val="both"/>
        <w:rPr>
          <w:rFonts w:eastAsia="Calibri"/>
          <w:b/>
          <w:sz w:val="24"/>
          <w:szCs w:val="24"/>
          <w:lang w:val="kk-KZ"/>
        </w:rPr>
      </w:pPr>
    </w:p>
    <w:p w:rsidR="00F3415F" w:rsidRPr="00F3415F" w:rsidRDefault="00F3415F" w:rsidP="00C54531">
      <w:pPr>
        <w:jc w:val="both"/>
        <w:rPr>
          <w:rFonts w:eastAsia="Calibri"/>
          <w:b/>
          <w:sz w:val="24"/>
          <w:szCs w:val="24"/>
          <w:lang w:val="kk-KZ"/>
        </w:rPr>
      </w:pPr>
    </w:p>
    <w:p w:rsidR="00C54531" w:rsidRPr="00955E48" w:rsidRDefault="00C54531" w:rsidP="00955E4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55E48">
        <w:rPr>
          <w:rFonts w:ascii="Times New Roman" w:eastAsia="Calibri" w:hAnsi="Times New Roman" w:cs="Times New Roman"/>
          <w:b/>
          <w:sz w:val="24"/>
          <w:szCs w:val="24"/>
          <w:lang w:val="kk-KZ"/>
        </w:rPr>
        <w:t>Ұсынылатын әдебиеттер</w:t>
      </w:r>
      <w:r w:rsidRPr="00955E48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4531" w:rsidRPr="00955E48" w:rsidRDefault="00C54531" w:rsidP="00955E48">
      <w:pPr>
        <w:tabs>
          <w:tab w:val="center" w:pos="4677"/>
        </w:tabs>
        <w:spacing w:line="240" w:lineRule="auto"/>
        <w:jc w:val="both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bCs/>
          <w:sz w:val="24"/>
          <w:szCs w:val="24"/>
          <w:lang w:val="kk-KZ"/>
        </w:rPr>
        <w:t>1.«Еңбек қорғау» Жаданов Н, Құдайбергенов Н., «Фолиант» баспасы, 2008</w:t>
      </w:r>
    </w:p>
    <w:p w:rsidR="00C54531" w:rsidRPr="00955E48" w:rsidRDefault="00C54531" w:rsidP="00955E48">
      <w:pPr>
        <w:tabs>
          <w:tab w:val="center" w:pos="4677"/>
        </w:tabs>
        <w:spacing w:line="240" w:lineRule="auto"/>
        <w:jc w:val="both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bCs/>
          <w:sz w:val="24"/>
          <w:szCs w:val="24"/>
          <w:lang w:val="kk-KZ"/>
        </w:rPr>
        <w:t>2.«Қауіпсіздік техникасы» Әбдіров А., Сейфуллина Ғ., «Фолиант» баспасы, Астана 2017</w:t>
      </w:r>
    </w:p>
    <w:p w:rsidR="00C54531" w:rsidRPr="00955E48" w:rsidRDefault="00C54531" w:rsidP="00955E48">
      <w:pPr>
        <w:tabs>
          <w:tab w:val="center" w:pos="4677"/>
        </w:tabs>
        <w:spacing w:line="240" w:lineRule="auto"/>
        <w:jc w:val="both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bCs/>
          <w:sz w:val="24"/>
          <w:szCs w:val="24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C54531" w:rsidRPr="00955E48" w:rsidRDefault="00C54531" w:rsidP="00955E48">
      <w:pPr>
        <w:tabs>
          <w:tab w:val="center" w:pos="4677"/>
        </w:tabs>
        <w:spacing w:line="240" w:lineRule="auto"/>
        <w:jc w:val="both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bCs/>
          <w:sz w:val="24"/>
          <w:szCs w:val="24"/>
          <w:lang w:val="kk-KZ"/>
        </w:rPr>
        <w:t>4. «Техникалық реттеу туралы» Қазақстан Республикасының 2004 жылғы 9 қарашадағы Заңы</w:t>
      </w:r>
    </w:p>
    <w:p w:rsidR="00C54531" w:rsidRPr="00955E48" w:rsidRDefault="00C54531" w:rsidP="00955E48">
      <w:pPr>
        <w:tabs>
          <w:tab w:val="center" w:pos="4677"/>
        </w:tabs>
        <w:spacing w:line="240" w:lineRule="auto"/>
        <w:jc w:val="both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bCs/>
          <w:sz w:val="24"/>
          <w:szCs w:val="24"/>
          <w:lang w:val="kk-KZ"/>
        </w:rPr>
        <w:t>5. Санитарлық ережелер «Ғимараттарға қойылатын санитарлық-эпидемиологиялық талаптар</w:t>
      </w:r>
    </w:p>
    <w:p w:rsidR="00C54531" w:rsidRPr="00955E48" w:rsidRDefault="00C54531" w:rsidP="00955E48">
      <w:pPr>
        <w:tabs>
          <w:tab w:val="center" w:pos="4677"/>
        </w:tabs>
        <w:spacing w:line="240" w:lineRule="auto"/>
        <w:jc w:val="both"/>
        <w:outlineLvl w:val="6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C54531" w:rsidRPr="00955E48" w:rsidRDefault="006D1BA4" w:rsidP="00955E48">
      <w:pPr>
        <w:tabs>
          <w:tab w:val="left" w:pos="142"/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C54531" w:rsidRPr="00955E48">
        <w:rPr>
          <w:rFonts w:ascii="Times New Roman" w:hAnsi="Times New Roman" w:cs="Times New Roman"/>
          <w:bCs/>
          <w:sz w:val="24"/>
          <w:szCs w:val="24"/>
          <w:lang w:val="kk-KZ"/>
        </w:rPr>
        <w:t>Тіршілік қауіпсіздігі" курсы бойынша жоғары оқу орындары студенттеріне арналған оқу құралы</w:t>
      </w:r>
      <w:r w:rsidR="00C54531" w:rsidRPr="00955E48">
        <w:rPr>
          <w:rFonts w:ascii="Times New Roman" w:hAnsi="Times New Roman" w:cs="Times New Roman"/>
          <w:sz w:val="24"/>
          <w:szCs w:val="24"/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C54531" w:rsidRPr="00955E48" w:rsidRDefault="00C54531" w:rsidP="00955E48">
      <w:pPr>
        <w:tabs>
          <w:tab w:val="left" w:pos="142"/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5E48">
        <w:rPr>
          <w:rFonts w:ascii="Times New Roman" w:hAnsi="Times New Roman" w:cs="Times New Roman"/>
          <w:sz w:val="24"/>
          <w:szCs w:val="24"/>
          <w:lang w:val="kk-KZ"/>
        </w:rPr>
        <w:t>8.</w:t>
      </w:r>
      <w:bookmarkStart w:id="0" w:name="_GoBack"/>
      <w:bookmarkEnd w:id="0"/>
      <w:r w:rsidRPr="00955E48">
        <w:rPr>
          <w:rFonts w:ascii="Times New Roman" w:hAnsi="Times New Roman" w:cs="Times New Roman"/>
          <w:sz w:val="24"/>
          <w:szCs w:val="24"/>
          <w:lang w:val="kk-KZ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C54531" w:rsidRPr="00955E48" w:rsidRDefault="00C54531" w:rsidP="00955E48">
      <w:pPr>
        <w:tabs>
          <w:tab w:val="left" w:pos="1695"/>
        </w:tabs>
        <w:spacing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54531" w:rsidRPr="00955E48" w:rsidRDefault="00C54531" w:rsidP="00955E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54531" w:rsidRPr="00955E48" w:rsidSect="0012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6977"/>
    <w:multiLevelType w:val="hybridMultilevel"/>
    <w:tmpl w:val="59160D36"/>
    <w:lvl w:ilvl="0" w:tplc="576AFE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531"/>
    <w:rsid w:val="00121902"/>
    <w:rsid w:val="00316D82"/>
    <w:rsid w:val="006D1BA4"/>
    <w:rsid w:val="00955E48"/>
    <w:rsid w:val="00985967"/>
    <w:rsid w:val="00C54531"/>
    <w:rsid w:val="00F3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C545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C545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54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1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3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41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2021-03-26T16:13:00Z</dcterms:created>
  <dcterms:modified xsi:type="dcterms:W3CDTF">2021-03-26T16:13:00Z</dcterms:modified>
</cp:coreProperties>
</file>